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DONAVAN D. COX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Co-founder &amp; Principal Consultant |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Leadership Development &amp; Team Optimization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 versatile development strategist with 30+ years of experience in military service, law enforcement training, and leadership development. I help organizations across the public and private sectors build high‑performing teams through a unique blend of tactical expertise and behavioral science.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My approach is built at the intersection of three pillars: entrepreneurial leadership development, health and wellness expertise, and my practice as a Certified MBTI Practitioner. I translate high-stakes communication and performance strategies into data-driven organizational growth, empowering leaders to bridge skill gaps and cultivate cultures of sustainable excellence.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Areas of Impact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Elite Team Building &amp; Leadership Development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Drawing on 20 years of coordinating high-level training units, I specialize in moving teams from operational friction to peak performance. I leverage the MBTI framework to decode team dynamics, enabling leaders to understand cognitive diversity and optimize collaboration.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Strategic Business Growth &amp; Innovation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As a seasoned entrepreneur, I design scalable systems that align human talent with commercial goals. I bridge the gap between instructional design and measurable business outcomes, ensuring that every training initiative drives long-term ROI.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Holistic Performance &amp; Retention</w:t>
        <w:br w:type="textWrapping"/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With a strong foundation in health and wellness, I integrate "The Whole Person" into professional development. I focus on building resilient leadership structures that prioritize mental and physical longevity, reducing burnout and increasing talent retention.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Operational Readiness &amp; Resilience</w:t>
        <w:br w:type="textWrapping"/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 help organizations adopt a corporate framework that focuses on a culture of extreme accountability and situational awareness. This approach promotes high-performance habits across the organization.</w:t>
        <w:br w:type="textWrapping"/>
        <w:t xml:space="preserve"> 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Core Competencies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Behavioral Assessment:</w:t>
      </w:r>
      <w:r w:rsidDel="00000000" w:rsidR="00000000" w:rsidRPr="00000000">
        <w:rPr>
          <w:rtl w:val="0"/>
        </w:rPr>
        <w:t xml:space="preserve"> MBTI practitioner focusing on personality-driven team dynamics.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Curriculum Design:</w:t>
      </w:r>
      <w:r w:rsidDel="00000000" w:rsidR="00000000" w:rsidRPr="00000000">
        <w:rPr>
          <w:rtl w:val="0"/>
        </w:rPr>
        <w:t xml:space="preserve"> Developing transformative, data-driven instructional programs.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Change Management:</w:t>
      </w:r>
      <w:r w:rsidDel="00000000" w:rsidR="00000000" w:rsidRPr="00000000">
        <w:rPr>
          <w:rtl w:val="0"/>
        </w:rPr>
        <w:t xml:space="preserve"> Navigating organizational transitions with tactical clarity.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Business Process Improvement:</w:t>
      </w:r>
      <w:r w:rsidDel="00000000" w:rsidR="00000000" w:rsidRPr="00000000">
        <w:rPr>
          <w:rtl w:val="0"/>
        </w:rPr>
        <w:t xml:space="preserve"> Streamlining operations for entrepreneurial scalability.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Crisis Leadership:</w:t>
      </w:r>
      <w:r w:rsidDel="00000000" w:rsidR="00000000" w:rsidRPr="00000000">
        <w:rPr>
          <w:rtl w:val="0"/>
        </w:rPr>
        <w:t xml:space="preserve"> Leveraging over 30 years of public safety experience for high-pressure decision making.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